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>แผนพัฒนาคุณภาพ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(Improvement Plan)</w:t>
      </w:r>
      <w:r>
        <w:rPr>
          <w:rFonts w:hint="cs"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 xml:space="preserve">จากผลการประเมินคุณภาพการศึกษา ปีการศึกษา </w:t>
      </w:r>
      <w:r>
        <w:rPr>
          <w:rFonts w:hint="cs" w:ascii="TH SarabunPSK" w:hAnsi="TH SarabunPSK" w:cs="TH SarabunPSK"/>
          <w:b/>
          <w:bCs/>
          <w:sz w:val="36"/>
          <w:szCs w:val="36"/>
          <w:cs/>
        </w:rPr>
        <w:t xml:space="preserve">2564 </w:t>
      </w:r>
    </w:p>
    <w:p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 xml:space="preserve">ระดับมหาวิทยาลัย </w:t>
      </w:r>
      <w:r>
        <w:rPr>
          <w:rFonts w:hint="cs"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>ของมหาวิทยาลัยเทคโนโลยีราชมงคลตะวันออก</w:t>
      </w:r>
    </w:p>
    <w:tbl>
      <w:tblPr>
        <w:tblStyle w:val="4"/>
        <w:tblW w:w="15618" w:type="dxa"/>
        <w:tblInd w:w="-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2725"/>
        <w:gridCol w:w="2495"/>
        <w:gridCol w:w="1440"/>
        <w:gridCol w:w="1800"/>
        <w:gridCol w:w="3022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83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>(1)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ข้อเสนอแนะเพื่อการพัฒนาจากคณะกรรมการประเมินคุณภาพ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>(2)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การดำเนินการ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โครงการ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กิจกรรม</w:t>
            </w:r>
          </w:p>
        </w:tc>
        <w:tc>
          <w:tcPr>
            <w:tcW w:w="249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>(3)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ตัวชี้วัดความสำเร็จจากการดำเนินงานตามแนวทาง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>(4)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ผู้รับผิดชอบ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>(5)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ระยะเวลาดำเนินการ</w:t>
            </w:r>
          </w:p>
        </w:tc>
        <w:tc>
          <w:tcPr>
            <w:tcW w:w="4320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ผลการดำเนินงาน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tblHeader/>
        </w:trPr>
        <w:tc>
          <w:tcPr>
            <w:tcW w:w="2838" w:type="dxa"/>
            <w:vMerge w:val="continue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  <w:tc>
          <w:tcPr>
            <w:tcW w:w="2725" w:type="dxa"/>
            <w:vMerge w:val="continue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2495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22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ผลลัพธ์ที่ได้จากการดำเนินการ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โครงการ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กิจกรรม </w:t>
            </w:r>
          </w:p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298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lang w:val="th-TH"/>
              </w:rPr>
              <w:sym w:font="Wingdings" w:char="F0FC"/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บรรลุ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th-TH"/>
              </w:rPr>
              <w:sym w:font="Wingdings" w:char="F0FB"/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ไม่บรรลุ</w:t>
            </w:r>
          </w:p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 xml:space="preserve">?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ระบุไม่ได้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8" w:type="dxa"/>
            <w:gridSpan w:val="7"/>
            <w:shd w:val="clear" w:color="auto" w:fill="00B0F0"/>
            <w:vAlign w:val="top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องค์</w:t>
            </w:r>
            <w:r>
              <w:rPr>
                <w:rFonts w:hint="default" w:ascii="TH SarabunPSK" w:hAnsi="TH SarabunPSK" w:cs="TH SarabunPSK"/>
                <w:b/>
                <w:bCs/>
                <w:color w:val="000000"/>
                <w:sz w:val="32"/>
                <w:szCs w:val="32"/>
              </w:rPr>
              <w:t></w:t>
            </w:r>
            <w:r>
              <w:rPr>
                <w:rFonts w:hint="default"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 w:bidi="th-TH"/>
              </w:rPr>
              <w:t>ประกอบที่</w:t>
            </w:r>
            <w:r>
              <w:rPr>
                <w:rFonts w:hint="default"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1 </w:t>
            </w:r>
            <w:r>
              <w:rPr>
                <w:rFonts w:hint="default"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 w:bidi="th-TH"/>
              </w:rPr>
              <w:t>การผลิตบัณฑิต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u w:val="single"/>
                <w:cs/>
                <w:lang w:val="th-TH" w:bidi="th-TH"/>
              </w:rPr>
              <w:t>ข้อเสนอแนะเพื่อการพัฒนา</w:t>
            </w:r>
          </w:p>
          <w:p>
            <w:pPr>
              <w:tabs>
                <w:tab w:val="left" w:pos="240"/>
              </w:tabs>
              <w:autoSpaceDE w:val="0"/>
              <w:autoSpaceDN w:val="0"/>
              <w:adjustRightInd w:val="0"/>
              <w:ind w:right="20" w:rightChars="0"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u w:val="single"/>
                <w:cs w:val="0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 w:val="0"/>
                <w:lang w:val="en-US" w:bidi="th-TH"/>
              </w:rPr>
              <w:t>1.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มหาวิทยาลัยควรมีการทำแผนพัฒนาแบบบูรณาการในการเข้าสู่ตำแหน่งทางวิชาการของบุคลากร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ทั้งสายสนับสนุนและสายวิชาการ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เช่น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การกำหนดภาระงาน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การทำ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PC incubaiton Program, Publication Partnership Program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ซึ่งทำให้บุคลากรสามารถเข้าสู่ตำแหน่งทางวิชาการมากขึ้น</w:t>
            </w:r>
          </w:p>
        </w:tc>
        <w:tc>
          <w:tcPr>
            <w:tcW w:w="2725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2495" w:type="dxa"/>
            <w:vAlign w:val="top"/>
          </w:tcPr>
          <w:p>
            <w:pPr>
              <w:spacing w:after="0" w:line="240" w:lineRule="auto"/>
              <w:rPr>
                <w:rFonts w:hint="cs" w:ascii="TH SarabunPSK" w:hAnsi="TH SarabunPSK" w:cs="TH SarabunPSK" w:eastAsiaTheme="minorHAnsi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eastAsia="en-US" w:bidi="th-TH"/>
              </w:rPr>
              <w:t>ผู้อำนวยการกองบริหารงานบุคคล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3022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1298" w:type="dxa"/>
            <w:vAlign w:val="top"/>
          </w:tcPr>
          <w:p>
            <w:pPr>
              <w:spacing w:after="0" w:line="240" w:lineRule="auto"/>
              <w:rPr>
                <w:rFonts w:hint="cs" w:ascii="TH SarabunPSK" w:hAnsi="TH SarabunPSK" w:cs="TH SarabunPSK" w:eastAsiaTheme="minorHAnsi"/>
                <w:sz w:val="30"/>
                <w:szCs w:val="30"/>
                <w:u w:val="single"/>
                <w:cs/>
                <w:lang w:val="th-TH" w:eastAsia="en-US" w:bidi="th-TH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vAlign w:val="top"/>
          </w:tcPr>
          <w:p>
            <w:pPr>
              <w:tabs>
                <w:tab w:val="left" w:pos="240"/>
              </w:tabs>
              <w:autoSpaceDE w:val="0"/>
              <w:autoSpaceDN w:val="0"/>
              <w:adjustRightInd w:val="0"/>
              <w:ind w:right="20" w:rightChars="0"/>
              <w:jc w:val="thaiDistribute"/>
              <w:rPr>
                <w:rFonts w:hint="cs" w:ascii="TH SarabunPSK" w:hAnsi="TH SarabunPSK" w:cs="TH SarabunPSK" w:eastAsiaTheme="minorHAnsi"/>
                <w:sz w:val="32"/>
                <w:szCs w:val="32"/>
                <w:u w:val="single"/>
                <w:cs/>
                <w:lang w:val="th-TH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 w:val="0"/>
                <w:lang w:val="en-US" w:bidi="th-TH"/>
              </w:rPr>
              <w:t>2.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มหาวิทยาลัยควรมีการสร้างแรงจูงใจหรือมีสิ่งสนับสนุนอย่างเพียงพอ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เพื่อให้เกิดการพัฒนาหลักสูตรที่สามารถตอบโจทย์ทิศทางการขับเคลื่อนมหาวิทยาลัยให้สามารถบรรลุเป้าหมายที่กำหนดไว้</w:t>
            </w:r>
          </w:p>
        </w:tc>
        <w:tc>
          <w:tcPr>
            <w:tcW w:w="2725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hint="cs" w:ascii="TH SarabunPSK" w:hAnsi="TH SarabunPSK" w:cs="TH SarabunPSK" w:eastAsiaTheme="minorHAnsi"/>
                <w:sz w:val="30"/>
                <w:szCs w:val="30"/>
                <w:cs/>
                <w:lang w:val="th-TH" w:eastAsia="en-US" w:bidi="th-TH"/>
              </w:rPr>
            </w:pPr>
          </w:p>
        </w:tc>
        <w:tc>
          <w:tcPr>
            <w:tcW w:w="2495" w:type="dxa"/>
            <w:vAlign w:val="top"/>
          </w:tcPr>
          <w:p>
            <w:pPr>
              <w:spacing w:after="0" w:line="240" w:lineRule="auto"/>
              <w:rPr>
                <w:rFonts w:hint="cs" w:ascii="TH SarabunPSK" w:hAnsi="TH SarabunPSK" w:cs="TH SarabunPSK" w:eastAsiaTheme="minorHAnsi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eastAsia="en-US" w:bidi="th-TH"/>
              </w:rPr>
              <w:t>ผู้อำนวยการสำนักส่งเสริมวิชาการและงานทะเบียน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3022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1298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8" w:type="dxa"/>
            <w:gridSpan w:val="7"/>
            <w:shd w:val="clear" w:color="auto" w:fill="00B0F0"/>
            <w:vAlign w:val="top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องค์</w:t>
            </w:r>
            <w:r>
              <w:rPr>
                <w:rFonts w:hint="default" w:ascii="TH SarabunPSK" w:hAnsi="TH SarabunPSK" w:cs="TH SarabunPSK"/>
                <w:b/>
                <w:bCs/>
                <w:color w:val="000000"/>
                <w:sz w:val="32"/>
                <w:szCs w:val="32"/>
              </w:rPr>
              <w:t></w:t>
            </w:r>
            <w:r>
              <w:rPr>
                <w:rFonts w:hint="default"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 w:bidi="th-TH"/>
              </w:rPr>
              <w:t>ประกอบที่</w:t>
            </w:r>
            <w:r>
              <w:rPr>
                <w:rFonts w:hint="default"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 </w:t>
            </w:r>
            <w:r>
              <w:rPr>
                <w:rFonts w:hint="default"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 w:bidi="th-TH"/>
              </w:rPr>
              <w:t>การวิจัย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</w:trPr>
        <w:tc>
          <w:tcPr>
            <w:tcW w:w="2838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240"/>
              </w:tabs>
              <w:autoSpaceDE w:val="0"/>
              <w:autoSpaceDN w:val="0"/>
              <w:adjustRightInd w:val="0"/>
              <w:ind w:right="20"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cs w:val="0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มหาวิทยาลัยควรมีการติดตามผลงานวิจัยเพื่อการบริหารจัดการงานวิจัยที่ตกค้างจำนวนมาก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และอัพเดทให้เป็นปัจจุบันโดย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สวพ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เป็นผู้ดำเนินการและมีมาตรการในการดำเนินการเพื่อไม่ให้สูญเสียงบประมาณไปโดยเปล่าประโยชน์หรือไม่มีการตอบกลับ</w:t>
            </w:r>
          </w:p>
        </w:tc>
        <w:tc>
          <w:tcPr>
            <w:tcW w:w="2725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hint="cs" w:ascii="TH SarabunPSK" w:hAnsi="TH SarabunPSK" w:cs="TH SarabunPSK" w:eastAsiaTheme="minorHAnsi"/>
                <w:sz w:val="30"/>
                <w:szCs w:val="30"/>
                <w:cs/>
                <w:lang w:val="th-TH" w:eastAsia="en-US" w:bidi="th-TH"/>
              </w:rPr>
            </w:pPr>
          </w:p>
        </w:tc>
        <w:tc>
          <w:tcPr>
            <w:tcW w:w="2495" w:type="dxa"/>
            <w:vAlign w:val="top"/>
          </w:tcPr>
          <w:p>
            <w:pPr>
              <w:spacing w:after="0" w:line="240" w:lineRule="auto"/>
              <w:rPr>
                <w:rFonts w:hint="cs" w:ascii="TH SarabunPSK" w:hAnsi="TH SarabunPSK" w:cs="TH SarabunPSK" w:eastAsiaTheme="minorHAnsi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eastAsia="en-US" w:bidi="th-TH"/>
              </w:rPr>
              <w:t>ผู้อำนวยการสถาบันวิจัยและพัฒนา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3022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1298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vAlign w:val="top"/>
          </w:tcPr>
          <w:p>
            <w:pPr>
              <w:tabs>
                <w:tab w:val="left" w:pos="240"/>
              </w:tabs>
              <w:autoSpaceDE w:val="0"/>
              <w:autoSpaceDN w:val="0"/>
              <w:adjustRightInd w:val="0"/>
              <w:ind w:right="20" w:rightChars="0"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u w:val="single"/>
                <w:cs w:val="0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ตัวชี้วัด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2.4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เป็นตัวชี้วัดที่กำหนดขึ้นใหม่ด้านงบประมาณการพัฒนาเทคโนโลยี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นวัตกรรมเพื่อพัฒนาความเป็นผู้ประกอบการของมหาวิทยาลัย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โดยสามารถกำหนดสัดส่วนที่เหมาะสมไม่ต่ำกว่าร้อยละ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5 (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ระดับ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เพื่อพัฒนาด้านเทคโนโลยีและนวัตกรรมความเป็นผู้ประกอบการต่อสัดส่วนงบประมาณทั้งหมดเป็นจุดเริ่มต้นในการพัฒนาต่อยอดในอนาคต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มากกว่าการลงนามความร่วมมือ</w:t>
            </w:r>
          </w:p>
        </w:tc>
        <w:tc>
          <w:tcPr>
            <w:tcW w:w="2725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hint="cs" w:ascii="TH SarabunPSK" w:hAnsi="TH SarabunPSK" w:cs="TH SarabunPSK" w:eastAsiaTheme="minorHAnsi"/>
                <w:sz w:val="30"/>
                <w:szCs w:val="30"/>
                <w:cs/>
                <w:lang w:val="th-TH" w:eastAsia="en-US"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</w:tc>
        <w:tc>
          <w:tcPr>
            <w:tcW w:w="2495" w:type="dxa"/>
            <w:vAlign w:val="top"/>
          </w:tcPr>
          <w:p>
            <w:pPr>
              <w:spacing w:after="0" w:line="240" w:lineRule="auto"/>
              <w:rPr>
                <w:rFonts w:hint="cs" w:ascii="TH SarabunPSK" w:hAnsi="TH SarabunPSK" w:cs="TH SarabunPSK" w:eastAsiaTheme="minorHAnsi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eastAsia="en-US" w:bidi="th-TH"/>
              </w:rPr>
              <w:t>ผู้อำนวยการศูนย์บ่มเพาะ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eastAsia="en-US" w:bidi="th-TH"/>
              </w:rPr>
              <w:t>วิสาหกิจ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3022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1298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vAlign w:val="top"/>
          </w:tcPr>
          <w:p>
            <w:pPr>
              <w:tabs>
                <w:tab w:val="left" w:pos="240"/>
              </w:tabs>
              <w:autoSpaceDE w:val="0"/>
              <w:autoSpaceDN w:val="0"/>
              <w:adjustRightInd w:val="0"/>
              <w:ind w:right="20" w:rightChars="0"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u w:val="single"/>
                <w:cs w:val="0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ความร่วมมือเพื่อพัฒนาผู้ประกอบการและส่งเสริมการสร้างนวัตกรรมกับภาคธุรกิจ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อุตสาหกรรมของมหาวิทยาลัย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(University - Industry Linkage)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ตัวชี้วัดที่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2.5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ควรกำหนดเป้าหมายจากฐาน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MOA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ของมหาวิทยาลัยกับสัดส่วนของหน่วยงานที่สามารถดำเนินการได้ตั้งเป็นเป้า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หมาย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ท้าทายในแต่ละปี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และประเมินผลจากผลลัพธ์และผลผลิตของความร่วมมือดังกล่าวให้สะท้อนออกมาเป็นรูปธรรม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มากกว่าการลงนามความร่วมมือ</w:t>
            </w:r>
          </w:p>
        </w:tc>
        <w:tc>
          <w:tcPr>
            <w:tcW w:w="2725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hint="cs" w:ascii="TH SarabunPSK" w:hAnsi="TH SarabunPSK" w:cs="TH SarabunPSK" w:eastAsiaTheme="minorHAnsi"/>
                <w:sz w:val="30"/>
                <w:szCs w:val="30"/>
                <w:cs/>
                <w:lang w:val="th-TH" w:eastAsia="en-US"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</w:tc>
        <w:tc>
          <w:tcPr>
            <w:tcW w:w="2495" w:type="dxa"/>
            <w:vAlign w:val="top"/>
          </w:tcPr>
          <w:p>
            <w:pPr>
              <w:spacing w:after="0" w:line="240" w:lineRule="auto"/>
              <w:rPr>
                <w:rFonts w:hint="cs" w:ascii="TH SarabunPSK" w:hAnsi="TH SarabunPSK" w:cs="TH SarabunPSK" w:eastAsiaTheme="minorHAnsi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eastAsia="en-US" w:bidi="th-TH"/>
              </w:rPr>
              <w:t>ผู้อำนวยการศูนย์บ่มเพาะ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eastAsia="en-US" w:bidi="th-TH"/>
              </w:rPr>
              <w:t>วิสาหกิจ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3022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1298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8" w:type="dxa"/>
            <w:gridSpan w:val="7"/>
            <w:shd w:val="clear" w:color="auto" w:fill="00B0F0"/>
            <w:vAlign w:val="top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องค์</w:t>
            </w:r>
            <w:r>
              <w:rPr>
                <w:rFonts w:hint="default" w:ascii="TH SarabunPSK" w:hAnsi="TH SarabunPSK" w:cs="TH SarabunPSK"/>
                <w:b/>
                <w:bCs/>
                <w:color w:val="000000"/>
                <w:sz w:val="32"/>
                <w:szCs w:val="32"/>
              </w:rPr>
              <w:t></w:t>
            </w:r>
            <w:r>
              <w:rPr>
                <w:rFonts w:hint="default"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 w:bidi="th-TH"/>
              </w:rPr>
              <w:t>ประกอบที่</w:t>
            </w:r>
            <w:r>
              <w:rPr>
                <w:rFonts w:hint="default"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3</w:t>
            </w:r>
            <w:r>
              <w:rPr>
                <w:rFonts w:hint="default"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 w:bidi="th-TH"/>
              </w:rPr>
              <w:t>บริการวิชาการ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vAlign w:val="top"/>
          </w:tcPr>
          <w:p>
            <w:pPr>
              <w:tabs>
                <w:tab w:val="left" w:pos="240"/>
              </w:tabs>
              <w:autoSpaceDE w:val="0"/>
              <w:autoSpaceDN w:val="0"/>
              <w:adjustRightInd w:val="0"/>
              <w:ind w:right="20" w:rightChars="0"/>
              <w:jc w:val="thaiDistribute"/>
              <w:rPr>
                <w:rFonts w:hint="default" w:ascii="TH SarabunPSK" w:hAnsi="TH SarabunPSK" w:cs="TH SarabunPSK"/>
                <w:sz w:val="32"/>
                <w:szCs w:val="32"/>
                <w:cs w:val="0"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>1.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สถาบันควรส่งเสริมและมีแผนการพัฒนาการบริการวิชาการแบบมีรายได้อย่างเต็มระบบ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ตั้งแต่ระบบหลักสูตรจนถึงมหาวิทยาลัย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เพื่อใช้เป็นการทดแทนรายได้จากการเก็บค่าลงทะเบียนในระบบเดิม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เช่น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การจดทะเบียนที่ปรึกษาในสาขางานที่มากขึ้นเพื่อทำการเพิ่มศักยภาพการเสนอตัวในการทำงานภาครัฐ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หรือหารายได้จากการอบรม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และถ่ายทอดเทคโนโลยีกับภาคเอกชนให้มากขึ้น</w:t>
            </w:r>
          </w:p>
        </w:tc>
        <w:tc>
          <w:tcPr>
            <w:tcW w:w="2725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hint="cs" w:ascii="TH SarabunPSK" w:hAnsi="TH SarabunPSK" w:cs="TH SarabunPSK" w:eastAsiaTheme="minorHAnsi"/>
                <w:sz w:val="30"/>
                <w:szCs w:val="30"/>
                <w:cs/>
                <w:lang w:val="th-TH" w:eastAsia="en-US"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</w:tc>
        <w:tc>
          <w:tcPr>
            <w:tcW w:w="2495" w:type="dxa"/>
            <w:vAlign w:val="top"/>
          </w:tcPr>
          <w:p>
            <w:pPr>
              <w:spacing w:after="0" w:line="240" w:lineRule="auto"/>
              <w:rPr>
                <w:rFonts w:hint="cs" w:ascii="TH SarabunPSK" w:hAnsi="TH SarabunPSK" w:cs="TH SarabunPSK" w:eastAsiaTheme="minorHAnsi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eastAsia="en-US" w:bidi="th-TH"/>
              </w:rPr>
              <w:t>ผู้อำนวยการสถาบันวิจัยและพัฒนา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3022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1298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8" w:type="dxa"/>
            <w:gridSpan w:val="7"/>
            <w:shd w:val="clear" w:color="auto" w:fill="00B0F0"/>
            <w:vAlign w:val="top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องค์</w:t>
            </w:r>
            <w:r>
              <w:rPr>
                <w:rFonts w:hint="default"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 w:bidi="th-TH"/>
              </w:rPr>
              <w:t>ประกอบที่</w:t>
            </w:r>
            <w:r>
              <w:rPr>
                <w:rFonts w:hint="default"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4 </w:t>
            </w:r>
            <w:r>
              <w:rPr>
                <w:rFonts w:hint="default"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 w:bidi="th-TH"/>
              </w:rPr>
              <w:t>การทำนุบำรุงศิลปะและวัฒนธรรม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vAlign w:val="top"/>
          </w:tcPr>
          <w:p>
            <w:pPr>
              <w:tabs>
                <w:tab w:val="left" w:pos="240"/>
              </w:tabs>
              <w:autoSpaceDE w:val="0"/>
              <w:autoSpaceDN w:val="0"/>
              <w:adjustRightInd w:val="0"/>
              <w:ind w:right="20" w:rightChars="0"/>
              <w:jc w:val="thaiDistribute"/>
              <w:rPr>
                <w:rFonts w:hint="default" w:ascii="TH SarabunPSK" w:hAnsi="TH SarabunPSK" w:cs="TH SarabunPSK"/>
                <w:sz w:val="32"/>
                <w:szCs w:val="32"/>
                <w:cs w:val="0"/>
                <w:lang w:val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มหาวิทยาลัยควรมีการเผยแพร่กิจกรรมด้านการทํานุบํารุงศิลปะและวัฒนธรรม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ควรระบุชื่อองค์ความรู้อย่างชัดเจน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และจัดกิจกรรมนักศึกษาที่สามารถให้นักศึกษาทุกเขตพื้นที่การศึกษาเข้าร่วมได้</w:t>
            </w:r>
          </w:p>
        </w:tc>
        <w:tc>
          <w:tcPr>
            <w:tcW w:w="2725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hint="cs" w:ascii="TH SarabunPSK" w:hAnsi="TH SarabunPSK" w:cs="TH SarabunPSK" w:eastAsiaTheme="minorHAnsi"/>
                <w:sz w:val="30"/>
                <w:szCs w:val="30"/>
                <w:cs/>
                <w:lang w:val="th-TH" w:eastAsia="en-US" w:bidi="th-TH"/>
              </w:rPr>
            </w:pPr>
          </w:p>
        </w:tc>
        <w:tc>
          <w:tcPr>
            <w:tcW w:w="2495" w:type="dxa"/>
            <w:vAlign w:val="top"/>
          </w:tcPr>
          <w:p>
            <w:pPr>
              <w:spacing w:after="0" w:line="240" w:lineRule="auto"/>
              <w:rPr>
                <w:rFonts w:hint="cs" w:ascii="TH SarabunPSK" w:hAnsi="TH SarabunPSK" w:cs="TH SarabunPSK" w:eastAsiaTheme="minorHAnsi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eastAsia="en-US" w:bidi="th-TH"/>
              </w:rPr>
              <w:t>ผู้อำนวยการสำนักส่งเสริมงานส่งเสริมภาพลักษณ์องค์กร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3022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1298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8" w:type="dxa"/>
            <w:gridSpan w:val="7"/>
            <w:shd w:val="clear" w:color="auto" w:fill="00B0F0"/>
            <w:vAlign w:val="top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  <w:r>
              <w:rPr>
                <w:rFonts w:hint="default"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 w:bidi="th-TH"/>
              </w:rPr>
              <w:t>องค์ประกอบที่</w:t>
            </w:r>
            <w:r>
              <w:rPr>
                <w:rFonts w:hint="default"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5 </w:t>
            </w:r>
            <w:r>
              <w:rPr>
                <w:rFonts w:hint="default"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 w:bidi="th-TH"/>
              </w:rPr>
              <w:t>การบริหารจัดการ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vAlign w:val="top"/>
          </w:tcPr>
          <w:p>
            <w:pPr>
              <w:tabs>
                <w:tab w:val="left" w:pos="240"/>
              </w:tabs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u w:val="single"/>
                <w:cs w:val="0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  <w:t>1.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มหาวิทยาลัยฯ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มีระบบสารสนเทศเพื่อการบริหาร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(ERP)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แผนงบประมาณ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แผนบุคลากร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และแผนงานแล้ว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มหาวิทยาลัยควรเพิ่มระบบสารสนเทศเพื่องานวิชาการ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(ESS)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ซึ่งจะทำให้มีระบบสารสนเทศที่สมบูรณ์และสามารถควบคุมภารกิจของมหาวิทยาลัยในทุกมิติได้อย่างสมบูรณ์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และจะทำให้มหาวิทยาลัยฯ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มีข้อมูลแบบ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Real time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เพื่อการตัดสินในในการขับเคลื่อนมหาวิทยาลัย</w:t>
            </w:r>
          </w:p>
        </w:tc>
        <w:tc>
          <w:tcPr>
            <w:tcW w:w="2725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hint="cs" w:ascii="TH SarabunPSK" w:hAnsi="TH SarabunPSK" w:cs="TH SarabunPSK" w:eastAsiaTheme="minorHAnsi"/>
                <w:sz w:val="30"/>
                <w:szCs w:val="30"/>
                <w:cs/>
                <w:lang w:val="th-TH" w:eastAsia="en-US"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</w:tc>
        <w:tc>
          <w:tcPr>
            <w:tcW w:w="2495" w:type="dxa"/>
            <w:vAlign w:val="top"/>
          </w:tcPr>
          <w:p>
            <w:pPr>
              <w:spacing w:after="0" w:line="240" w:lineRule="auto"/>
              <w:rPr>
                <w:rFonts w:hint="cs" w:ascii="TH SarabunPSK" w:hAnsi="TH SarabunPSK" w:cs="TH SarabunPSK" w:eastAsiaTheme="minorHAnsi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eastAsia="en-US" w:bidi="th-TH"/>
              </w:rPr>
              <w:t>ผู้อำนวยการสำนักวิทยบริการและเทคโนโลยีสารสนเทศ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3022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1298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vAlign w:val="top"/>
          </w:tcPr>
          <w:p>
            <w:pPr>
              <w:tabs>
                <w:tab w:val="left" w:pos="240"/>
              </w:tabs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u w:val="single"/>
                <w:cs w:val="0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  <w:t>2.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มหาวิทยาลัยฯ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ควรวางแผนพัฒนาระบบประกันคุณภาพแบบ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EdPEx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คู่ขนานไปกับระบบประกันคุณภาพภายใน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(SAR)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เพื่อจะได้ผลักดันให้ทุกหน่วยงานกำหนดเป้าหมายองค์กรให้มีความท้าท้ายมากขึ้นในทิศทางของมหาวิทยาลัย</w:t>
            </w:r>
          </w:p>
        </w:tc>
        <w:tc>
          <w:tcPr>
            <w:tcW w:w="2725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…………………………………………....</w:t>
            </w:r>
          </w:p>
          <w:p>
            <w:pPr>
              <w:spacing w:after="0" w:line="240" w:lineRule="auto"/>
              <w:rPr>
                <w:rFonts w:hint="cs" w:ascii="TH SarabunPSK" w:hAnsi="TH SarabunPSK" w:cs="TH SarabunPSK" w:eastAsiaTheme="minorHAnsi"/>
                <w:sz w:val="30"/>
                <w:szCs w:val="30"/>
                <w:cs/>
                <w:lang w:val="th-TH" w:eastAsia="en-US" w:bidi="th-TH"/>
              </w:rPr>
            </w:pPr>
          </w:p>
        </w:tc>
        <w:tc>
          <w:tcPr>
            <w:tcW w:w="2495" w:type="dxa"/>
            <w:vAlign w:val="top"/>
          </w:tcPr>
          <w:p>
            <w:pPr>
              <w:spacing w:after="0" w:line="240" w:lineRule="auto"/>
              <w:rPr>
                <w:rFonts w:hint="cs" w:ascii="TH SarabunPSK" w:hAnsi="TH SarabunPSK" w:cs="TH SarabunPSK" w:eastAsiaTheme="minorHAnsi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eastAsia="en-US" w:bidi="th-TH"/>
              </w:rPr>
              <w:t>ผู้อำนวยการสำนักงานประกันคุณภาพ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3022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1298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vAlign w:val="top"/>
          </w:tcPr>
          <w:p>
            <w:pPr>
              <w:tabs>
                <w:tab w:val="left" w:pos="240"/>
              </w:tabs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u w:val="single"/>
                <w:cs w:val="0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  <w:t>3.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ทางมหาวิทยาลัยฯ</w:t>
            </w:r>
            <w:r>
              <w:rPr>
                <w:rFonts w:hint="default"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มีการส่งเสริมและกำกับติดตามอย่างเป็นรูปธรรม</w:t>
            </w:r>
            <w:r>
              <w:rPr>
                <w:rFonts w:hint="default"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และหากสถานการณ์ปกติมหาวิทยาลัยฯควรมีการแลกเปลี่ยนเรียนรู้จากองค์ความรู้ที่ได้จาการทำ</w:t>
            </w:r>
            <w:r>
              <w:rPr>
                <w:rFonts w:hint="default" w:ascii="TH SarabunPSK" w:hAnsi="TH SarabunPSK" w:cs="TH SarabunPSK"/>
                <w:sz w:val="32"/>
                <w:szCs w:val="32"/>
                <w:lang w:val="en-US"/>
              </w:rPr>
              <w:t xml:space="preserve"> KM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ระหว่างหน่วยงาน</w:t>
            </w:r>
            <w:r>
              <w:rPr>
                <w:rFonts w:hint="default"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และควรนำองค์ความรู้ที่ได้จาก</w:t>
            </w:r>
            <w:r>
              <w:rPr>
                <w:rFonts w:hint="default" w:ascii="TH SarabunPSK" w:hAnsi="TH SarabunPSK" w:cs="TH SarabunPSK"/>
                <w:sz w:val="32"/>
                <w:szCs w:val="32"/>
                <w:lang w:val="en-US"/>
              </w:rPr>
              <w:t xml:space="preserve"> KM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มากำหนดเพื่อให้ได้</w:t>
            </w:r>
            <w:r>
              <w:rPr>
                <w:rFonts w:hint="default" w:ascii="TH SarabunPSK" w:hAnsi="TH SarabunPSK" w:cs="TH SarabunPSK"/>
                <w:sz w:val="32"/>
                <w:szCs w:val="32"/>
                <w:lang w:val="en-US"/>
              </w:rPr>
              <w:t xml:space="preserve"> Good Practice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ในการประเมินในระดับหลักสูตรต่อไป</w:t>
            </w:r>
          </w:p>
        </w:tc>
        <w:tc>
          <w:tcPr>
            <w:tcW w:w="2725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bidi="th-TH"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</w:t>
            </w:r>
          </w:p>
          <w:p>
            <w:pPr>
              <w:spacing w:after="0" w:line="240" w:lineRule="auto"/>
              <w:rPr>
                <w:rFonts w:hint="cs" w:ascii="TH SarabunPSK" w:hAnsi="TH SarabunPSK" w:cs="TH SarabunPSK" w:eastAsiaTheme="minorHAnsi"/>
                <w:sz w:val="30"/>
                <w:szCs w:val="30"/>
                <w:cs/>
                <w:lang w:val="th-TH" w:eastAsia="en-US" w:bidi="th-TH"/>
              </w:rPr>
            </w:pPr>
          </w:p>
        </w:tc>
        <w:tc>
          <w:tcPr>
            <w:tcW w:w="2495" w:type="dxa"/>
            <w:vAlign w:val="top"/>
          </w:tcPr>
          <w:p>
            <w:pPr>
              <w:spacing w:after="0" w:line="240" w:lineRule="auto"/>
              <w:rPr>
                <w:rFonts w:hint="cs" w:ascii="TH SarabunPSK" w:hAnsi="TH SarabunPSK" w:cs="TH SarabunPSK" w:eastAsiaTheme="minorHAnsi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0"/>
                <w:szCs w:val="30"/>
                <w:cs/>
                <w:lang w:val="th-TH" w:eastAsia="en-US" w:bidi="th-TH"/>
              </w:rPr>
              <w:t>ผู้อำนวยการกองบริหารงานบุคคล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3022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1298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</w:tr>
    </w:tbl>
    <w:p>
      <w:pPr>
        <w:rPr>
          <w:rFonts w:ascii="TH SarabunPSK" w:hAnsi="TH SarabunPSK" w:cs="TH SarabunPSK"/>
          <w:sz w:val="40"/>
          <w:szCs w:val="40"/>
          <w:cs/>
        </w:rPr>
      </w:pPr>
    </w:p>
    <w:sectPr>
      <w:pgSz w:w="16838" w:h="11906" w:orient="landscape"/>
      <w:pgMar w:top="990" w:right="1440" w:bottom="144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80C544"/>
    <w:multiLevelType w:val="singleLevel"/>
    <w:tmpl w:val="A080C544"/>
    <w:lvl w:ilvl="0" w:tentative="0">
      <w:start w:val="6"/>
      <w:numFmt w:val="decimal"/>
      <w:suff w:val="space"/>
      <w:lvlText w:val="(%1)"/>
      <w:lvlJc w:val="left"/>
    </w:lvl>
  </w:abstractNum>
  <w:abstractNum w:abstractNumId="1">
    <w:nsid w:val="C3A7DB29"/>
    <w:multiLevelType w:val="singleLevel"/>
    <w:tmpl w:val="C3A7DB2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B7"/>
    <w:rsid w:val="000D093A"/>
    <w:rsid w:val="00352192"/>
    <w:rsid w:val="0040491E"/>
    <w:rsid w:val="005056E6"/>
    <w:rsid w:val="006A51FE"/>
    <w:rsid w:val="007F1EB7"/>
    <w:rsid w:val="007F3000"/>
    <w:rsid w:val="00AC648E"/>
    <w:rsid w:val="00B35938"/>
    <w:rsid w:val="00E44017"/>
    <w:rsid w:val="00EB6AEE"/>
    <w:rsid w:val="00EC49A5"/>
    <w:rsid w:val="096A6D80"/>
    <w:rsid w:val="0E1D59EE"/>
    <w:rsid w:val="1E793C4B"/>
    <w:rsid w:val="367057F0"/>
    <w:rsid w:val="46E968E9"/>
    <w:rsid w:val="612637B8"/>
    <w:rsid w:val="68B02AFA"/>
    <w:rsid w:val="6DA3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166</Words>
  <Characters>949</Characters>
  <Lines>7</Lines>
  <Paragraphs>2</Paragraphs>
  <TotalTime>9</TotalTime>
  <ScaleCrop>false</ScaleCrop>
  <LinksUpToDate>false</LinksUpToDate>
  <CharactersWithSpaces>1113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2022-10-05T04:46:00Z</dcterms:created>
  <dc:creator>Rmutto291960</dc:creator>
  <cp:lastModifiedBy>Anongluk Suksai</cp:lastModifiedBy>
  <cp:lastPrinted>2019-11-08T02:57:00Z</cp:lastPrinted>
  <dcterms:modified xsi:type="dcterms:W3CDTF">2022-10-25T07:58:19Z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1054-11.2.0.11341</vt:lpwstr>
  </property>
  <property fmtid="{D5CDD505-2E9C-101B-9397-08002B2CF9AE}" pid="3" name="ICV">
    <vt:lpwstr>FD953FF249E14D8881227D069C56E4CC</vt:lpwstr>
  </property>
</Properties>
</file>