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</w:pP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ตารางแสดงผลการประเมินตนเองรายตัวชี้วัด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ตามองค์ประกอบคุณภาพ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ตามเกณฑ์มาตรฐาน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สปอว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+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เกณฑ์คณะ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>+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เกณฑ์กลุ่มสถาบัน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ประจำปีการศึกษา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bidi="th-TH"/>
        </w:rPr>
        <w:t>2566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br w:type="textWrapping"/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u w:val="single"/>
          <w:cs/>
          <w:lang w:val="th-TH" w:bidi="th-TH"/>
        </w:rPr>
        <w:t>ระดับคณะ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รอบ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en-US" w:bidi="th-TH"/>
        </w:rPr>
        <w:t>....................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 xml:space="preserve">เดือน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(1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มิ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ย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.6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en-US" w:bidi="th-TH"/>
        </w:rPr>
        <w:t>6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 – 31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พ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.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ค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 xml:space="preserve">. 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en-US" w:bidi="th-TH"/>
        </w:rPr>
        <w:t>67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</w:rPr>
        <w:t>)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</w:rPr>
        <w:t xml:space="preserve"> </w:t>
      </w:r>
      <w:r>
        <w:rPr>
          <w:rFonts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มหาวิทยาลัยเทคโนโลยีราชมงคล</w:t>
      </w:r>
      <w:r>
        <w:rPr>
          <w:rFonts w:hint="cs" w:ascii="TH SarabunPSK" w:hAnsi="TH SarabunPSK" w:eastAsia="Times New Roman" w:cs="TH SarabunPSK"/>
          <w:b/>
          <w:bCs/>
          <w:color w:val="000000"/>
          <w:sz w:val="30"/>
          <w:szCs w:val="30"/>
          <w:cs/>
          <w:lang w:val="th-TH" w:bidi="th-TH"/>
        </w:rPr>
        <w:t>ตะวันออก</w:t>
      </w:r>
    </w:p>
    <w:tbl>
      <w:tblPr>
        <w:tblStyle w:val="3"/>
        <w:tblW w:w="104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4"/>
        <w:gridCol w:w="1383"/>
        <w:gridCol w:w="1169"/>
        <w:gridCol w:w="1134"/>
        <w:gridCol w:w="1281"/>
        <w:gridCol w:w="1216"/>
        <w:gridCol w:w="3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1007" w:hRule="atLeast"/>
          <w:tblHeader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ตัวชี้วัด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เป้าหมาย</w:t>
            </w:r>
          </w:p>
          <w:p>
            <w:pPr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ปีการศึกษา</w:t>
            </w:r>
          </w:p>
          <w:p>
            <w:pPr>
              <w:jc w:val="center"/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2566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ตัวตั้ง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ตัวหาร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ผล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การดำเนินงาน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คะแนน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ประเมินตนเอง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บรรลุเป้าหมาย</w:t>
            </w:r>
          </w:p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default" w:ascii="Arial" w:hAnsi="Arial" w:eastAsia="Times New Roman" w:cs="Arial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√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และ</w:t>
            </w:r>
            <w:r>
              <w:rPr>
                <w:rFonts w:hint="default" w:ascii="Arial" w:hAnsi="Arial" w:eastAsia="Times New Roman" w:cs="Arial"/>
                <w:b w:val="0"/>
                <w:bCs w:val="0"/>
                <w:color w:val="000000"/>
                <w:sz w:val="28"/>
                <w:szCs w:val="28"/>
                <w:cs/>
                <w:lang w:val="en-US" w:bidi="th-TH"/>
              </w:rPr>
              <w:t>×</w:t>
            </w:r>
            <w:r>
              <w:rPr>
                <w:rFonts w:hint="cs" w:ascii="Arial" w:hAnsi="Arial" w:eastAsia="Times New Roman" w:cs="Arial"/>
                <w:b w:val="0"/>
                <w:bCs w:val="0"/>
                <w:color w:val="000000"/>
                <w:sz w:val="28"/>
                <w:szCs w:val="28"/>
                <w:cs/>
                <w:lang w:val="en-US" w:bidi="th-TH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องค์ประกอบที่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  <w:t xml:space="preserve">1 :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การผลิตบัณฑิต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1.1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ผลการบริหารจัดการหลักสูตรโดยรวม 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/>
              </w:rPr>
              <w:t xml:space="preserve">3.65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1.2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อาจารย์ประจำคณะที่มีคุณวุฒิปริญญาเอก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  <w:cs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4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1.3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อาจารย์ประจำคณะที่ดำรงตำแหน่งทางวิชาการ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3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1.4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จำนวนนักศึกษาเต็มเวลาเทียบเท่าต่อจำนวนอาจารย์ประจำ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hint="cs" w:ascii="TH SarabunPSK" w:hAnsi="TH SarabunPSK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cs" w:ascii="TH SarabunPSK" w:hAnsi="TH SarabunPSK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cs="TH SarabunPSK"/>
                <w:color w:val="000000"/>
                <w:sz w:val="24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1.5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การบริการนักศึกษาระดับปริญญาตรี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1.6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กิจกรรมนักศึกษาระดับปริญญาตรี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thaiDistribute"/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 New" w:hAnsi="TH Sarabun New" w:cs="TH Sarabun New"/>
                <w:color w:val="000000"/>
                <w:sz w:val="28"/>
                <w:szCs w:val="28"/>
                <w:cs/>
              </w:rPr>
              <w:t xml:space="preserve">1.7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นักศึกษาและบัณฑิตผู้ประกอบการ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1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thaiDistribute"/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1.8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>บุคลากรคณะแลกเปลี่ยนความรู้สู่ภาคธุรกิจ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/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อุตสาหกรรม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Talent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/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Academic Mobility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Consultation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) 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2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2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thaiDistribute"/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1.9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>งบประมาณจากแหล่งทุนภายนอกสนับสนุนการสร้างผู้ประกอบการ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/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ธุรกิจใหม่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Startup Co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-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Investment Funding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) 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2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2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thaiDistribute"/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1.10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>หลักสูตร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/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>โปรแกรมเฉพาะที่ใช้เทคโนโลยี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/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นวัตกรรมเพื่อพัฒนาความเป็นผู้ประกอบการ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Technological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/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Innovation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-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Driven Entrepreneurial Education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) 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2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4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thaiDistribute"/>
              <w:rPr>
                <w:rFonts w:hint="cs" w:ascii="TH SarabunPSK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1.11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ระบบนิเวศน์ด้านเทคโนโลยีและนวัตกรรมเพื่อเร่งพัฒนาผู้ประกอบการในคณะ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Technological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/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Innovation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 -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Driven Entrepreneurial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Ecosystem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) 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เกณฑ์จัดกลุ่มสถาบัน กลุ่ม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2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3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right"/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 w:val="0"/>
            <w:vAlign w:val="top"/>
          </w:tcPr>
          <w:p>
            <w:pPr>
              <w:ind w:right="-84" w:hanging="9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ind w:right="-84" w:hanging="9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องค์ประกอบที่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  <w:t xml:space="preserve">2 :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การวิจัย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 w:val="0"/>
            <w:vAlign w:val="top"/>
          </w:tcPr>
          <w:p>
            <w:pPr>
              <w:ind w:right="-84" w:hanging="9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ind w:right="-84" w:hanging="9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295" w:hanging="295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2.1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ระบบและกลไกการบริหารและพัฒนางานวิจัยหรืองานสร้างสรรค์ 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right="-84" w:hanging="9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5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2.2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เงินสนับสนุนงานวิจัยและงานสร้างสรรค์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3.70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thaiDistribute"/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2.3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ผลงานทางวิชาการของอาจารย์ประจำแล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ะ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 xml:space="preserve">นักวิจัย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2.4 </w:t>
            </w:r>
            <w:r>
              <w:rPr>
                <w:cs/>
                <w:lang w:val="th-TH" w:bidi="th-TH"/>
              </w:rPr>
              <w:t>งบประมาณการพัฒนาเทคโนโลยี</w:t>
            </w:r>
            <w:r>
              <w:rPr>
                <w:cs/>
              </w:rPr>
              <w:t>/</w:t>
            </w:r>
            <w:r>
              <w:rPr>
                <w:cs/>
                <w:lang w:val="th-TH" w:bidi="th-TH"/>
              </w:rPr>
              <w:t>นวัตกรรมเพื่อพัฒนาความเป็นผู้ประกอบการของคณะ</w:t>
            </w:r>
            <w:r>
              <w:rPr>
                <w:cs/>
              </w:rPr>
              <w:t>(</w:t>
            </w:r>
            <w:r>
              <w:t>Technological</w:t>
            </w:r>
            <w:r>
              <w:rPr>
                <w:cs/>
              </w:rPr>
              <w:t>/</w:t>
            </w:r>
            <w:r>
              <w:t>Innovative Development</w:t>
            </w:r>
            <w:r>
              <w:rPr>
                <w:cs/>
              </w:rPr>
              <w:t xml:space="preserve"> </w:t>
            </w:r>
            <w:r>
              <w:t>Funding</w:t>
            </w:r>
            <w:r>
              <w:rPr>
                <w:cs/>
              </w:rPr>
              <w:t>) (</w:t>
            </w:r>
            <w:r>
              <w:rPr>
                <w:cs/>
                <w:lang w:val="th-TH" w:bidi="th-TH"/>
              </w:rPr>
              <w:t xml:space="preserve">เกณฑ์จัดกลุ่มสถาบัน กลุ่ม </w:t>
            </w:r>
            <w:r>
              <w:t>2</w:t>
            </w:r>
            <w:r>
              <w:rPr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2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4"/>
              <w:jc w:val="thaiDistribute"/>
            </w:pPr>
            <w:r>
              <w:rPr>
                <w:rFonts w:hint="cs"/>
                <w:cs/>
              </w:rPr>
              <w:t xml:space="preserve">2.5 </w:t>
            </w:r>
            <w:r>
              <w:rPr>
                <w:cs/>
                <w:lang w:val="th-TH" w:bidi="th-TH"/>
              </w:rPr>
              <w:t>ความร่วมมือเพื่อพัฒนาผู้ประกอบการและส่งเสริมการสร้างนวัตกรรมกับภาคธุรกิจ</w:t>
            </w:r>
            <w:r>
              <w:rPr>
                <w:cs/>
              </w:rPr>
              <w:t xml:space="preserve">/ </w:t>
            </w:r>
            <w:r>
              <w:rPr>
                <w:cs/>
                <w:lang w:val="th-TH" w:bidi="th-TH"/>
              </w:rPr>
              <w:t xml:space="preserve">อุตสาหกรรมของคณะ </w:t>
            </w:r>
            <w:r>
              <w:rPr>
                <w:cs/>
              </w:rPr>
              <w:t>(</w:t>
            </w:r>
            <w:r>
              <w:t xml:space="preserve">University </w:t>
            </w:r>
            <w:r>
              <w:rPr>
                <w:cs/>
              </w:rPr>
              <w:t xml:space="preserve">- </w:t>
            </w:r>
            <w:r>
              <w:t>Industry Linkage</w:t>
            </w:r>
            <w:r>
              <w:rPr>
                <w:cs/>
              </w:rPr>
              <w:t>) (</w:t>
            </w:r>
            <w:r>
              <w:rPr>
                <w:cs/>
                <w:lang w:val="th-TH" w:bidi="th-TH"/>
              </w:rPr>
              <w:t xml:space="preserve">เกณฑ์จัดกลุ่มสถาบัน กลุ่ม </w:t>
            </w:r>
            <w:r>
              <w:t>2</w:t>
            </w:r>
            <w:r>
              <w:rPr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3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4"/>
              <w:jc w:val="thaiDistribute"/>
            </w:pPr>
            <w:r>
              <w:rPr>
                <w:rFonts w:hint="cs"/>
                <w:cs/>
              </w:rPr>
              <w:t xml:space="preserve">2.6 </w:t>
            </w:r>
            <w:r>
              <w:rPr>
                <w:cs/>
                <w:lang w:val="th-TH" w:bidi="th-TH"/>
              </w:rPr>
              <w:t xml:space="preserve">การอ้างอิงผลงานวิจัย </w:t>
            </w:r>
            <w:r>
              <w:rPr>
                <w:cs/>
              </w:rPr>
              <w:t>(</w:t>
            </w:r>
            <w:r>
              <w:t>Word Ranking</w:t>
            </w:r>
            <w:r>
              <w:rPr>
                <w:cs/>
              </w:rPr>
              <w:t xml:space="preserve">: </w:t>
            </w:r>
            <w:r>
              <w:t>Times Higher Education</w:t>
            </w:r>
            <w:r>
              <w:rPr>
                <w:cs/>
              </w:rPr>
              <w:t xml:space="preserve">: </w:t>
            </w:r>
            <w:r>
              <w:t>THE</w:t>
            </w:r>
            <w:r>
              <w:rPr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1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630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2.7 </w:t>
            </w:r>
            <w:r>
              <w:rPr>
                <w:cs/>
                <w:lang w:val="th-TH" w:bidi="th-TH"/>
              </w:rPr>
              <w:t xml:space="preserve">ความร่วมมือระหว่างประเทศ </w:t>
            </w:r>
            <w:r>
              <w:rPr>
                <w:cs/>
              </w:rPr>
              <w:t>(</w:t>
            </w:r>
            <w:r>
              <w:t>Word Ranking</w:t>
            </w:r>
            <w:r>
              <w:rPr>
                <w:cs/>
              </w:rPr>
              <w:t xml:space="preserve">: </w:t>
            </w:r>
            <w:r>
              <w:t>Times Higher Education</w:t>
            </w:r>
            <w:r>
              <w:rPr>
                <w:cs/>
              </w:rPr>
              <w:t xml:space="preserve">: </w:t>
            </w:r>
            <w:r>
              <w:t>THE</w:t>
            </w:r>
            <w:r>
              <w:rPr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1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407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 w:val="0"/>
            <w:vAlign w:val="center"/>
          </w:tcPr>
          <w:p>
            <w:pPr>
              <w:jc w:val="right"/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  <w:szCs w:val="32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414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 w:val="0"/>
            <w:vAlign w:val="center"/>
          </w:tcPr>
          <w:p>
            <w:pP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องค์ประกอบที่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  <w:t xml:space="preserve">3 :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การบริการวิชาการ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  <w:szCs w:val="32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3.1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การบริการวิชาการแก่สังคม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thaiDistribute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cs"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3.2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>รายได้จากการบริการวิชาการ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>ถ่ายทอดความรู้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)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  <w:lang w:val="th-TH" w:bidi="th-TH"/>
              </w:rPr>
              <w:t xml:space="preserve">สู่ภาคอุตสาหกรรม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Word Ranking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: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Times Higher Education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 xml:space="preserve">: 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</w:rPr>
              <w:t>THE</w:t>
            </w:r>
            <w:r>
              <w:rPr>
                <w:rFonts w:ascii="TH Sarabun New" w:hAnsi="TH Sarabun New" w:eastAsia="Calibri" w:cs="TH Sarabun New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1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right"/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องค์ประกอบที่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  <w:t xml:space="preserve">4 :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การทำนุบำรุงศิลปะและวัฒนธรรม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4.1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ระบบและกลไกการทำนุบำรุงศิลปะและวัฒนธรรม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47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 w:val="0"/>
            <w:vAlign w:val="center"/>
          </w:tcPr>
          <w:p>
            <w:pPr>
              <w:jc w:val="right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404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 w:val="0"/>
            <w:vAlign w:val="center"/>
          </w:tcPr>
          <w:p>
            <w:pP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องค์ประกอบที่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</w:rPr>
              <w:t xml:space="preserve">5 :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การบริหารจัดการ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132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338" w:hanging="338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5.1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การบริหารของคณะเพื่อการกำกับติดตามผลลัพธ์ตามพันธกิจ กลุ่มสถาบันและเอกลักษณ์ของคณะ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4"/>
                <w:szCs w:val="28"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52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 xml:space="preserve">5.1.1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การพัฒนาแผน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52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 xml:space="preserve">5.1.2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การเงิน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52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 xml:space="preserve">5.1.3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การบริหารความเสี่ยง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52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 xml:space="preserve">5.1.4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หลักธรรมาภิบาล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52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 xml:space="preserve">5.1.5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การจัดการความรู้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52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 xml:space="preserve">5.1.6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การพัฒนาบุคลากร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52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 xml:space="preserve">5.1.7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การประกันคุณภาพภายใน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  <w:t xml:space="preserve">5.2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ระบบกำกับการประกันคุณภาพหลักสูตร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(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สปอว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.)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en-US" w:bidi="th-TH"/>
              </w:rPr>
              <w:t xml:space="preserve">5 </w:t>
            </w:r>
            <w:r>
              <w:rPr>
                <w:rFonts w:hint="cs" w:ascii="TH SarabunPSK" w:hAnsi="TH SarabunPSK" w:eastAsia="Times New Roman" w:cs="TH SarabunPSK"/>
                <w:color w:val="000000"/>
                <w:sz w:val="24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4"/>
                <w:szCs w:val="28"/>
                <w:lang w:val="en-US" w:bidi="th-T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right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4"/>
                <w:szCs w:val="28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center"/>
          </w:tcPr>
          <w:p>
            <w:pPr>
              <w:jc w:val="right"/>
              <w:rPr>
                <w:rFonts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เฉลี่ยรวมองค์ประกอบที่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1 -5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 w:themeFill="accent6" w:themeFillTint="32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jc w:val="left"/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 xml:space="preserve">6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ผลลัพธ์ตามมาตรฐานการอุดมศึกษาจากแผนพัฒนาคณะ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.......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 w:val="0"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ADDF1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pStyle w:val="4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hint="cs" w:ascii="TH Sarabun New" w:hAnsi="TH Sarabun New" w:cs="TH Sarabun New"/>
                <w:color w:val="000000"/>
                <w:cs/>
              </w:rPr>
              <w:t xml:space="preserve">6.1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ร้อยละความสำเร็จตามมาตรฐานที่ </w:t>
            </w:r>
            <w:r>
              <w:rPr>
                <w:rFonts w:ascii="TH Sarabun New" w:hAnsi="TH Sarabun New" w:cs="TH Sarabun New"/>
                <w:color w:val="000000"/>
              </w:rPr>
              <w:t>1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ผลลัพธ์ผู้เรียน ประเด็นยุทธศาสตร์ที่ </w:t>
            </w:r>
            <w:r>
              <w:rPr>
                <w:rFonts w:ascii="TH Sarabun New" w:hAnsi="TH Sarabun New" w:cs="TH Sarabun New"/>
                <w:color w:val="000000"/>
              </w:rPr>
              <w:t>2</w:t>
            </w:r>
            <w:r>
              <w:rPr>
                <w:rFonts w:ascii="TH Sarabun New" w:hAnsi="TH Sarabun New" w:cs="TH Sarabun New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การสร้างบัณฑิตนักปฏิบัติ </w:t>
            </w:r>
            <w:r>
              <w:rPr>
                <w:rFonts w:ascii="TH Sarabun New" w:hAnsi="TH Sarabun New" w:cs="TH Sarabun New"/>
                <w:color w:val="000000"/>
              </w:rPr>
              <w:t xml:space="preserve">Hands on, Mind on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และ </w:t>
            </w:r>
            <w:r>
              <w:rPr>
                <w:rFonts w:ascii="TH Sarabun New" w:hAnsi="TH Sarabun New" w:cs="TH Sarabun New"/>
                <w:color w:val="000000"/>
              </w:rPr>
              <w:t>Heart on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4.80 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pStyle w:val="4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hint="cs" w:ascii="TH Sarabun New" w:hAnsi="TH Sarabun New" w:cs="TH Sarabun New"/>
                <w:color w:val="000000"/>
                <w:cs/>
              </w:rPr>
              <w:t xml:space="preserve">6.2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ร้อยละความสำเร็จตามมาตรฐานที่ </w:t>
            </w:r>
            <w:r>
              <w:rPr>
                <w:rFonts w:ascii="TH Sarabun New" w:hAnsi="TH Sarabun New" w:cs="TH Sarabun New"/>
                <w:color w:val="000000"/>
              </w:rPr>
              <w:t>2</w:t>
            </w:r>
            <w:r>
              <w:rPr>
                <w:rFonts w:ascii="TH Sarabun New" w:hAnsi="TH Sarabun New" w:cs="TH Sarabun New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ด้านการวิจัยและนวัตกรรม ประเด็นยุทธศาสตร์ที่ </w:t>
            </w:r>
            <w:r>
              <w:rPr>
                <w:rFonts w:ascii="TH Sarabun New" w:hAnsi="TH Sarabun New" w:cs="TH Sarabun New"/>
                <w:color w:val="000000"/>
              </w:rPr>
              <w:t>3</w:t>
            </w:r>
            <w:r>
              <w:rPr>
                <w:rFonts w:ascii="TH Sarabun New" w:hAnsi="TH Sarabun New" w:cs="TH Sarabun New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พัฒนาวิจัยสิ่งประดิษฐ์และสร้างนวัตกรรมเพื่อสนับสนุนการการเรียนการสอนและพัฒนาประเทศ สอดคล้องกับ </w:t>
            </w:r>
            <w:r>
              <w:rPr>
                <w:rFonts w:ascii="TH Sarabun New" w:hAnsi="TH Sarabun New" w:cs="TH Sarabun New"/>
                <w:color w:val="000000"/>
              </w:rPr>
              <w:t>Thailand 4</w:t>
            </w:r>
            <w:r>
              <w:rPr>
                <w:rFonts w:ascii="TH Sarabun New" w:hAnsi="TH Sarabun New" w:cs="TH Sarabun New"/>
                <w:color w:val="000000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4.30 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pStyle w:val="4"/>
              <w:rPr>
                <w:rFonts w:ascii="TH Sarabun New" w:hAnsi="TH Sarabun New" w:cs="TH Sarabun New"/>
                <w:color w:val="000000"/>
                <w:cs/>
              </w:rPr>
            </w:pPr>
            <w:r>
              <w:rPr>
                <w:rFonts w:hint="cs" w:ascii="TH Sarabun New" w:hAnsi="TH Sarabun New" w:cs="TH Sarabun New"/>
                <w:color w:val="000000"/>
                <w:cs/>
              </w:rPr>
              <w:t xml:space="preserve">6.3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ร้อยละความสำเร็จตามมาตรฐานที่ </w:t>
            </w:r>
            <w:r>
              <w:rPr>
                <w:rFonts w:ascii="TH Sarabun New" w:hAnsi="TH Sarabun New" w:cs="TH Sarabun New"/>
                <w:color w:val="000000"/>
              </w:rPr>
              <w:t>3</w:t>
            </w:r>
            <w:r>
              <w:rPr>
                <w:rFonts w:ascii="TH Sarabun New" w:hAnsi="TH Sarabun New" w:cs="TH Sarabun New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ด้านการบริการวิชาการ ประเด็นยุทธศาสตร์ที่ </w:t>
            </w:r>
            <w:r>
              <w:rPr>
                <w:rFonts w:ascii="TH Sarabun New" w:hAnsi="TH Sarabun New" w:cs="TH Sarabun New"/>
                <w:color w:val="000000"/>
              </w:rPr>
              <w:t>4</w:t>
            </w:r>
            <w:r>
              <w:rPr>
                <w:rFonts w:ascii="TH Sarabun New" w:hAnsi="TH Sarabun New" w:cs="TH Sarabun New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>การพัฒนาคุณภาพการให้บริการวิชาการแก่ชุมชนและสังคมอย่างยั่งยืน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4.55 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pStyle w:val="4"/>
              <w:rPr>
                <w:rFonts w:ascii="TH Sarabun New" w:hAnsi="TH Sarabun New" w:cs="TH Sarabun New"/>
                <w:color w:val="000000"/>
                <w:cs/>
              </w:rPr>
            </w:pPr>
            <w:r>
              <w:rPr>
                <w:rFonts w:hint="cs" w:ascii="TH Sarabun New" w:hAnsi="TH Sarabun New" w:cs="TH Sarabun New"/>
                <w:color w:val="000000"/>
                <w:cs/>
              </w:rPr>
              <w:t xml:space="preserve">6.4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ร้อยละความสำเร็จตามมาตรฐานที่ </w:t>
            </w:r>
            <w:r>
              <w:rPr>
                <w:rFonts w:ascii="TH Sarabun New" w:hAnsi="TH Sarabun New" w:cs="TH Sarabun New"/>
                <w:color w:val="000000"/>
              </w:rPr>
              <w:t>4</w:t>
            </w:r>
            <w:r>
              <w:rPr>
                <w:rFonts w:ascii="TH Sarabun New" w:hAnsi="TH Sarabun New" w:cs="TH Sarabun New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ด้านศิลปวัฒนธรรมและความเป็นไทย ประเด็นยุทธศาสตร์ที่ </w:t>
            </w:r>
            <w:r>
              <w:rPr>
                <w:rFonts w:ascii="TH Sarabun New" w:hAnsi="TH Sarabun New" w:cs="TH Sarabun New"/>
                <w:color w:val="000000"/>
              </w:rPr>
              <w:t>5</w:t>
            </w:r>
            <w:r>
              <w:rPr>
                <w:rFonts w:ascii="TH Sarabun New" w:hAnsi="TH Sarabun New" w:cs="TH Sarabun New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>สืบสานทำนุบำรุงศาสนา ศิลปวัฒนธรรม ภูมิปัญญาท้องถิ่น และความเป็นไทย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4.55 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pStyle w:val="4"/>
              <w:rPr>
                <w:rFonts w:ascii="TH Sarabun New" w:hAnsi="TH Sarabun New" w:cs="TH Sarabun New"/>
                <w:color w:val="000000"/>
                <w:cs/>
              </w:rPr>
            </w:pPr>
            <w:r>
              <w:rPr>
                <w:rFonts w:hint="cs" w:ascii="TH Sarabun New" w:hAnsi="TH Sarabun New" w:cs="TH Sarabun New"/>
                <w:color w:val="000000"/>
                <w:cs/>
              </w:rPr>
              <w:t xml:space="preserve">6.5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ร้อยละความสำเร็จตามมาตรฐานที่ </w:t>
            </w:r>
            <w:r>
              <w:rPr>
                <w:rFonts w:ascii="TH Sarabun New" w:hAnsi="TH Sarabun New" w:cs="TH Sarabun New"/>
                <w:color w:val="000000"/>
              </w:rPr>
              <w:t>5</w:t>
            </w:r>
            <w:r>
              <w:rPr>
                <w:rFonts w:ascii="TH Sarabun New" w:hAnsi="TH Sarabun New" w:cs="TH Sarabun New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>ด้านการบริหารจัดการประเด็นยุทธศาสตร์ที่</w:t>
            </w:r>
            <w:r>
              <w:rPr>
                <w:rFonts w:ascii="TH Sarabun New" w:hAnsi="TH Sarabun New" w:cs="TH Sarabun New"/>
                <w:color w:val="000000"/>
              </w:rPr>
              <w:t xml:space="preserve"> 1</w:t>
            </w:r>
            <w:r>
              <w:rPr>
                <w:rFonts w:ascii="TH Sarabun New" w:hAnsi="TH Sarabun New" w:cs="TH Sarabun New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 xml:space="preserve">พัฒนาระบบการบริหารจัดการเพื่อมุ่งสู่การเป็นองค์กรที่มีสมรรถนะสูงโดยใช้ </w:t>
            </w:r>
            <w:r>
              <w:rPr>
                <w:rFonts w:ascii="TH Sarabun New" w:hAnsi="TH Sarabun New" w:cs="TH Sarabun New"/>
                <w:color w:val="000000"/>
              </w:rPr>
              <w:t xml:space="preserve">IT </w:t>
            </w:r>
            <w:r>
              <w:rPr>
                <w:rFonts w:ascii="TH Sarabun New" w:hAnsi="TH Sarabun New" w:cs="TH Sarabun New"/>
                <w:color w:val="000000"/>
                <w:cs/>
                <w:lang w:val="th-TH" w:bidi="th-TH"/>
              </w:rPr>
              <w:t>แบบรวมศูนย์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  <w:t xml:space="preserve">4 </w:t>
            </w:r>
            <w:r>
              <w:rPr>
                <w:rFonts w:hint="cs"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คะแนน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color w:val="000000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right"/>
              <w:rPr>
                <w:rFonts w:ascii="TH SarabunPSK" w:hAnsi="TH SarabunPSK" w:eastAsia="Times New Roman" w:cs="TH SarabunPSK"/>
                <w:color w:val="000000"/>
                <w:sz w:val="28"/>
                <w:szCs w:val="28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เฉลี่ยคะแนนองค์ประกอบที่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DE9D9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noWrap/>
            <w:vAlign w:val="center"/>
          </w:tcPr>
          <w:p>
            <w:pPr>
              <w:wordWrap w:val="0"/>
              <w:ind w:left="0" w:leftChars="0" w:firstLine="0" w:firstLineChars="0"/>
              <w:jc w:val="right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เฉลี่ยรวมองค์ประกอบที่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1 -6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96" w:type="dxa"/>
          <w:trHeight w:val="319" w:hRule="atLeast"/>
          <w:jc w:val="center"/>
        </w:trPr>
        <w:tc>
          <w:tcPr>
            <w:tcW w:w="3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wordWrap w:val="0"/>
              <w:jc w:val="right"/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 xml:space="preserve">เฉลี่ยรวมองค์ประกอบที่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</w:rPr>
              <w:t>1 -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5</w:t>
            </w:r>
          </w:p>
          <w:p>
            <w:pPr>
              <w:wordWrap w:val="0"/>
              <w:jc w:val="right"/>
              <w:rPr>
                <w:rFonts w:hint="default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 xml:space="preserve"> (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th-TH" w:bidi="th-TH"/>
              </w:rPr>
              <w:t>ตัวชี้วัด สปอว</w:t>
            </w:r>
            <w:r>
              <w:rPr>
                <w:rFonts w:hint="cs" w:ascii="TH SarabunPSK" w:hAnsi="TH SarabunPSK" w:eastAsia="Times New Roman" w:cs="TH SarabunPSK"/>
                <w:b/>
                <w:bCs/>
                <w:color w:val="000000"/>
                <w:sz w:val="28"/>
                <w:szCs w:val="28"/>
                <w:cs/>
                <w:lang w:val="en-US" w:bidi="th-TH"/>
              </w:rPr>
              <w:t>.)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 w:val="0"/>
            <w:vAlign w:val="top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cs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jc w:val="center"/>
              <w:rPr>
                <w:rFonts w:ascii="TH SarabunPSK" w:hAnsi="TH SarabunPSK" w:eastAsia="Times New Roman" w:cs="TH SarabunPSK"/>
                <w:color w:val="000000"/>
                <w:cs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center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EF2CC" w:themeFill="accent4" w:themeFillTint="32"/>
            <w:noWrap/>
            <w:vAlign w:val="bottom"/>
          </w:tcPr>
          <w:p>
            <w:pPr>
              <w:rPr>
                <w:rFonts w:ascii="TH SarabunPSK" w:hAnsi="TH SarabunPSK" w:eastAsia="Times New Roman" w:cs="TH SarabunPSK"/>
                <w:color w:val="000000"/>
              </w:rPr>
            </w:pPr>
          </w:p>
        </w:tc>
      </w:tr>
    </w:tbl>
    <w:p>
      <w:pPr>
        <w:rPr>
          <w:rFonts w:hint="cs"/>
          <w:cs/>
        </w:rPr>
      </w:pPr>
    </w:p>
    <w:p>
      <w:pPr>
        <w:rPr>
          <w:rFonts w:hint="cs"/>
          <w:cs/>
        </w:rPr>
      </w:pPr>
    </w:p>
    <w:p/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9F547983-8F91-4553-9922-7506D4821158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BF532FF5-BEEC-44BA-A0EE-FF9CDE09E5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AFFF51C6-F9E1-458B-AD8E-0B06BE1FCF2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3CE9AE6A-0F23-46F1-B4E0-01A9352D087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647B9B5D-F5C8-4F19-BE8B-6C2E93E6399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7126EBCD-9D96-43E7-9EDE-78965CDC083D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5D13ED36-DE2D-45D1-857D-A5EE3BB8624C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8ED7646E-9459-4572-BC72-A2695504EF28}"/>
  </w:font>
  <w:font w:name="TH Sarabun New">
    <w:altName w:val="TH SarabunPSK"/>
    <w:panose1 w:val="00000000000000000000"/>
    <w:charset w:val="00"/>
    <w:family w:val="swiss"/>
    <w:pitch w:val="default"/>
    <w:sig w:usb0="00000000" w:usb1="00000000" w:usb2="00000000" w:usb3="00000000" w:csb0="00010183" w:csb1="00000000"/>
    <w:embedRegular r:id="rId9" w:fontKey="{F1DF115C-A232-42E2-AA6C-9CF4C7E03689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26F9EAF5-3DE2-4F3C-8BC8-F4D18796E1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8512BD"/>
    <w:rsid w:val="180D15DE"/>
    <w:rsid w:val="1824034A"/>
    <w:rsid w:val="4A7C4501"/>
    <w:rsid w:val="638512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eastAsia="Cordia New" w:cs="Cordia New"/>
      <w:sz w:val="32"/>
      <w:szCs w:val="32"/>
      <w:lang w:val="en-US" w:eastAsia="en-US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basedOn w:val="1"/>
    <w:qFormat/>
    <w:uiPriority w:val="1"/>
    <w:pPr>
      <w:ind w:firstLine="31"/>
    </w:pPr>
    <w:rPr>
      <w:rFonts w:ascii="TH SarabunPSK" w:hAnsi="TH SarabunPSK" w:cs="TH SarabunPSK"/>
      <w:sz w:val="28"/>
      <w:szCs w:val="2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2024-03-14T01:59:00Z</dcterms:created>
  <dc:creator>Anongluk Suksai</dc:creator>
  <cp:lastModifiedBy>Anongluk Suksai</cp:lastModifiedBy>
  <dcterms:modified xsi:type="dcterms:W3CDTF">2024-03-14T04:33:20Z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6503D4DA7D69407195B3A917B43B65F1_11</vt:lpwstr>
  </property>
</Properties>
</file>