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แผนพัฒนาคุณภาพ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(Improvement Plan)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จากผลการประเมินคุณภาพการศึกษา ปีการศึกษา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2564 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ระดับมหาวิทยาลัย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ของมหาวิทยาลัยเทคโนโลยีราชมงคลตะวันออก</w:t>
      </w:r>
    </w:p>
    <w:tbl>
      <w:tblPr>
        <w:tblStyle w:val="4"/>
        <w:tblW w:w="15618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725"/>
        <w:gridCol w:w="2495"/>
        <w:gridCol w:w="1440"/>
        <w:gridCol w:w="1800"/>
        <w:gridCol w:w="3022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3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(1)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ข้อเสนอแนะเพื่อการพัฒนาจากคณะกรรมการประเมินคุณภาพ</w:t>
            </w:r>
          </w:p>
        </w:tc>
        <w:tc>
          <w:tcPr>
            <w:tcW w:w="272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(2)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กิจกรรม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(3)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(4)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ผู้รับผิดชอบ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(5)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</w:trPr>
        <w:tc>
          <w:tcPr>
            <w:tcW w:w="2838" w:type="dxa"/>
            <w:vMerge w:val="continue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Merge w:val="continue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ผลลัพธ์ที่ได้จากการดำเนินการ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กิจกรรม </w:t>
            </w:r>
          </w:p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C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บรรลุ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B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ไม่บรรลุ</w:t>
            </w:r>
          </w:p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?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ระบุไม่ได้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>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1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การผลิตบัณฑิต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 w:rightChars="0"/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u w:val="single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1.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มหาวิทยาลัยควรมีการทำแผนพัฒนาแบบบูรณาการในการเข้าสู่ตำแหน่งทางวิชาการของบุคลากร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ทั้งสายสนับสนุนและสายวิชาการ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เช่น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การกำหนดภาระงาน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การทำ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PC incubaiton Program, Publication Partnership Program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ซึ่งทำให้บุคลากรสามารถเข้าสู่ตำแหน่งทางวิชาการมากขึ้น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ผู้อำนวยการกองบริหารงานบุคคล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u w:val="single"/>
                <w:cs/>
                <w:lang w:val="th-TH" w:eastAsia="en-US" w:bidi="th-TH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 w:rightChars="0"/>
              <w:jc w:val="thaiDistribute"/>
              <w:rPr>
                <w:rFonts w:hint="cs" w:ascii="TH SarabunPSK" w:hAnsi="TH SarabunPSK" w:cs="TH SarabunPSK" w:eastAsiaTheme="minorHAnsi"/>
                <w:sz w:val="32"/>
                <w:szCs w:val="32"/>
                <w:u w:val="singl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2.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มหาวิทยาลัยควรมีการสร้างแรงจูงใจหรือมีสิ่งสนับสนุนอย่างเพียงพอ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ให้เกิดการพัฒนาหลักสูตรที่สามารถตอบโจทย์ทิศทางการขับเคลื่อนมหาวิทยาลัยให้สามารถบรรลุเป้าหมายที่กำหนดไว้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ผู้อำนวยการสำนักส่งเสริมวิชาการและงานทะเบียน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>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การวิจัย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2838" w:type="dxa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มหาวิทยาลัยควรมีการติดตามผลงานวิจัยเพื่อการบริหารจัดการงานวิจัยที่ตกค้างจำนวนมาก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และอัพเดทให้เป็นปัจจุบันโดย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สวพ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ป็นผู้ดำเนินการและมีมาตรการในการดำเนินการเพื่อไม่ให้สูญเสียงบประมาณไปโดยเปล่าประโยชน์หรือไม่มีการตอบกลับ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ผู้อำนวยการสถาบันวิจัยและพัฒนา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 w:rightChars="0"/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u w:val="single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2.4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เป็นตัวชี้วัดที่กำหนดขึ้นใหม่ด้านงบประมาณการพัฒนาเทคโนโลยี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นวัตกรรมเพื่อพัฒนาความเป็นผู้ประกอบการของมหาวิทยาลัย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โดยสามารถกำหนดสัดส่วนที่เหมาะสมไม่ต่ำกว่าร้อยละ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5 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พัฒนาด้านเทคโนโลยีและนวัตกรรมความเป็นผู้ประกอบการต่อสัดส่วนงบประมาณทั้งหมดเป็นจุดเริ่มต้นในการพัฒนาต่อยอดในอนาคต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มากกว่าการลงนามความร่วมมือ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ผู้อำนวยการศูนย์บ่มเพาะ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วิสาหกิจ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 w:rightChars="0"/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u w:val="single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ความร่วมมือเพื่อพัฒนาผู้ประกอบการและส่งเสริมการสร้างนวัตกรรมกับภาคธุรกิจ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อุตสาหกรรมของมหาวิทยาลัย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(University - Industry Linkage)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ตัวชี้วัดที่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2.5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ควรกำหนดเป้าหมายจากฐาน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MOA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ของมหาวิทยาลัยกับสัดส่วนของหน่วยงานที่สามารถดำเนินการได้ตั้งเป็นเป้า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หมาย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ท้าทายในแต่ละปี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และประเมินผลจากผลลัพธ์และผลผลิตของความร่วมมือดังกล่าวให้สะท้อนออกมาเป็นรูปธรรม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มากกว่าการลงนามความร่วมมือ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ผู้อำนวยการศูนย์บ่มเพาะ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วิสาหกิจ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>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บริการวิชาการ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 w:rightChars="0"/>
              <w:jc w:val="thaiDistribute"/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1.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สถาบันควรส่งเสริมและมีแผนการพัฒนาการบริการวิชาการแบบมีรายได้อย่างเต็มระบบ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ตั้งแต่ระบบหลักสูตรจนถึงมหาวิทยาลัย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เพื่อใช้เป็นการทดแทนรายได้จากการเก็บค่าลงทะเบียนในระบบเดิม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เช่น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การจดทะเบียนที่ปรึกษาในสาขางานที่มากขึ้นเพื่อทำการเพิ่มศักยภาพการเสนอตัวในการทำงานภาครัฐ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หรือหารายได้จากการอบรม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และถ่ายทอดเทคโนโลยีกับภาคเอกชนให้มากขึ้น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ผู้อำนวยการสถาบันวิจัยและพัฒนา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4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การทำนุบำรุงศิลปะและวัฒนธรรม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 w:rightChars="0"/>
              <w:jc w:val="thaiDistribute"/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มหาวิทยาลัยควรมีการเผยแพร่กิจกรรมด้านการทํานุบํารุงศิลปะและวัฒนธรรม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ควรระบุชื่อองค์ความรู้อย่างชัดเจน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และจัดกิจกรรมนักศึกษาที่สามารถให้นักศึกษาทุกเขตพื้นที่การศึกษาเข้าร่วมได้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ผู้อำนวยการสำนักส่งเสริมงานส่งเสริมภาพลักษณ์องค์กร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  <w:vAlign w:val="top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องค์ประกอบที่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5 </w:t>
            </w:r>
            <w:r>
              <w:rPr>
                <w:rFonts w:hint="default"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การบริหารจัดการ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u w:val="single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1.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มหาวิทยาลัยฯ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มีระบบสารสนเทศเพื่อการบริหาร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(ERP)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แผนงบประมาณ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แผนบุคลากร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และแผนงานแล้ว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มหาวิทยาลัยควรเพิ่มระบบสารสนเทศเพื่องานวิชาการ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(ESS)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ซึ่งจะทำให้มีระบบสารสนเทศที่สมบูรณ์และสามารถควบคุมภารกิจของมหาวิทยาลัยในทุกมิติได้อย่างสมบูรณ์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และจะทำให้มหาวิทยาลัยฯ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มีข้อมูลแบบ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Real time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เพื่อการตัดสินในในการขับเคลื่อนมหาวิทยาลัย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ผู้อำนวยการสำนักวิทยบริการและเทคโนโลยีสารสนเทศ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u w:val="single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2.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มหาวิทยาลัยฯ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ควรวางแผนพัฒนาระบบประกันคุณภาพแบบ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EdPEx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คู่ขนานไปกับระบบประกันคุณภาพภายใน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(SAR)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จะได้ผลักดันให้ทุกหน่วยงานกำหนดเป้าหมายองค์กรให้มีความท้าท้ายมากขึ้นในทิศทางของมหาวิทยาลัย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ผู้อำนวยการสำนักงานประกันคุณภาพ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top"/>
          </w:tcPr>
          <w:p>
            <w:pPr>
              <w:tabs>
                <w:tab w:val="left" w:pos="240"/>
              </w:tabs>
              <w:jc w:val="thaiDistribute"/>
              <w:rPr>
                <w:rFonts w:hint="default" w:ascii="TH SarabunPSK" w:hAnsi="TH SarabunPSK" w:cs="TH SarabunPSK" w:eastAsiaTheme="minorHAnsi"/>
                <w:sz w:val="32"/>
                <w:szCs w:val="32"/>
                <w:u w:val="single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3.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ทางมหาวิทยาลัยฯ</w:t>
            </w:r>
            <w: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มีการส่งเสริมและกำกับติดตามอย่างเป็นรูปธรรม</w:t>
            </w:r>
            <w: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และหากสถานการณ์ปกติมหาวิทยาลัยฯควรมีการแลกเปลี่ยนเรียนรู้จากองค์ความรู้ที่ได้จาการทำ</w:t>
            </w:r>
            <w: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  <w:t xml:space="preserve"> KM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ระหว่างหน่วยงาน</w:t>
            </w:r>
            <w: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และควรนำองค์ความรู้ที่ได้จาก</w:t>
            </w:r>
            <w: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  <w:t xml:space="preserve"> KM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มากำหนดเพื่อให้ได้</w:t>
            </w:r>
            <w:r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  <w:t xml:space="preserve"> Good Practice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ในการประเมินในระดับหลักสูตรต่อไป</w:t>
            </w:r>
          </w:p>
        </w:tc>
        <w:tc>
          <w:tcPr>
            <w:tcW w:w="2725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th-TH" w:eastAsia="en-US" w:bidi="th-TH"/>
              </w:rPr>
            </w:pPr>
          </w:p>
        </w:tc>
        <w:tc>
          <w:tcPr>
            <w:tcW w:w="2495" w:type="dxa"/>
            <w:vAlign w:val="top"/>
          </w:tcPr>
          <w:p>
            <w:pPr>
              <w:spacing w:after="0" w:line="240" w:lineRule="auto"/>
              <w:rPr>
                <w:rFonts w:hint="cs" w:ascii="TH SarabunPSK" w:hAnsi="TH SarabunPSK" w:cs="TH SarabunPSK" w:eastAsiaTheme="minorHAnsi"/>
                <w:sz w:val="30"/>
                <w:szCs w:val="30"/>
                <w:cs/>
                <w:lang w:val="en-US" w:eastAsia="en-US" w:bidi="th-TH"/>
              </w:rPr>
            </w:pPr>
          </w:p>
        </w:tc>
        <w:tc>
          <w:tcPr>
            <w:tcW w:w="144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eastAsia="en-US" w:bidi="th-TH"/>
              </w:rPr>
              <w:t>ผู้อำนวยการกองบริหารงานบุคคล</w:t>
            </w:r>
          </w:p>
        </w:tc>
        <w:tc>
          <w:tcPr>
            <w:tcW w:w="1800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3022" w:type="dxa"/>
            <w:vAlign w:val="top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 w:eastAsiaTheme="minorHAnsi"/>
                <w:sz w:val="30"/>
                <w:szCs w:val="30"/>
                <w:lang w:val="en-US" w:eastAsia="en-US" w:bidi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</w:tbl>
    <w:p>
      <w:pPr>
        <w:rPr>
          <w:rFonts w:ascii="TH SarabunPSK" w:hAnsi="TH SarabunPSK" w:cs="TH SarabunPSK"/>
          <w:sz w:val="40"/>
          <w:szCs w:val="40"/>
          <w:cs/>
        </w:rPr>
      </w:pPr>
    </w:p>
    <w:sectPr>
      <w:pgSz w:w="16838" w:h="11906" w:orient="landscape"/>
      <w:pgMar w:top="99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0C544"/>
    <w:multiLevelType w:val="singleLevel"/>
    <w:tmpl w:val="A080C544"/>
    <w:lvl w:ilvl="0" w:tentative="0">
      <w:start w:val="6"/>
      <w:numFmt w:val="decimal"/>
      <w:suff w:val="space"/>
      <w:lvlText w:val="(%1)"/>
      <w:lvlJc w:val="left"/>
    </w:lvl>
  </w:abstractNum>
  <w:abstractNum w:abstractNumId="1">
    <w:nsid w:val="C3A7DB29"/>
    <w:multiLevelType w:val="singleLevel"/>
    <w:tmpl w:val="C3A7DB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7"/>
    <w:rsid w:val="000D093A"/>
    <w:rsid w:val="00352192"/>
    <w:rsid w:val="0040491E"/>
    <w:rsid w:val="005056E6"/>
    <w:rsid w:val="006A51FE"/>
    <w:rsid w:val="007F1EB7"/>
    <w:rsid w:val="007F3000"/>
    <w:rsid w:val="00AC648E"/>
    <w:rsid w:val="00B35938"/>
    <w:rsid w:val="00E44017"/>
    <w:rsid w:val="00EB6AEE"/>
    <w:rsid w:val="00EC49A5"/>
    <w:rsid w:val="096A6D80"/>
    <w:rsid w:val="0E1D59EE"/>
    <w:rsid w:val="1E793C4B"/>
    <w:rsid w:val="367057F0"/>
    <w:rsid w:val="46E968E9"/>
    <w:rsid w:val="612637B8"/>
    <w:rsid w:val="68B02AFA"/>
    <w:rsid w:val="6DA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949</Characters>
  <Lines>7</Lines>
  <Paragraphs>2</Paragraphs>
  <TotalTime>9</TotalTime>
  <ScaleCrop>false</ScaleCrop>
  <LinksUpToDate>false</LinksUpToDate>
  <CharactersWithSpaces>1113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2022-10-05T04:46:00Z</dcterms:created>
  <dc:creator>Rmutto291960</dc:creator>
  <cp:lastModifiedBy>Anongluk Suksai</cp:lastModifiedBy>
  <cp:lastPrinted>2019-11-08T02:57:00Z</cp:lastPrinted>
  <dcterms:modified xsi:type="dcterms:W3CDTF">2022-10-25T07:58:19Z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1054-11.2.0.11341</vt:lpwstr>
  </property>
  <property fmtid="{D5CDD505-2E9C-101B-9397-08002B2CF9AE}" pid="3" name="ICV">
    <vt:lpwstr>FD953FF249E14D8881227D069C56E4CC</vt:lpwstr>
  </property>
</Properties>
</file>